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  <w:r>
        <w:rPr>
          <w:b w:val="1"/>
          <w:bCs w:val="1"/>
          <w:rtl w:val="0"/>
          <w:lang w:val="fr-FR"/>
        </w:rPr>
        <w:t>UNIVERSIT</w:t>
      </w:r>
      <w:r>
        <w:rPr>
          <w:rFonts w:hAnsi="Times New Roman" w:hint="default"/>
          <w:b w:val="1"/>
          <w:bCs w:val="1"/>
          <w:rtl w:val="0"/>
          <w:lang w:val="fr-FR"/>
        </w:rPr>
        <w:t>À</w:t>
      </w:r>
      <w:r>
        <w:rPr>
          <w:rtl w:val="0"/>
          <w:lang w:val="fr-FR"/>
        </w:rPr>
        <w:t xml:space="preserve">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DEGLI STUDI DI TRIESTE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DIPARTIMENTO DI SCIENZE POLITICHE E SOCIALI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 xml:space="preserve">CORSO DI LAUREA TRIENNALE IN SCIENZE INTERNAZIONALI E DIPLOMATICHE 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Sede di Gorizia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L-LIN/04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LINGUA FRANCESE I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ANNO ACCADEMICO 201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5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/201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6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Totale ore del corso: 45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Crediti formativi: 9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/>
          <w:b w:val="1"/>
          <w:bCs w:val="1"/>
          <w:kern w:val="1"/>
          <w:sz w:val="22"/>
          <w:szCs w:val="22"/>
          <w:u w:color="000000"/>
          <w:rtl w:val="0"/>
          <w:lang w:val="fr-FR"/>
        </w:rPr>
        <w:t>Obiettivi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Il corso mira alla conoscenza e al consolidamento delle quattro abilit</w:t>
      </w:r>
      <w:r>
        <w:rPr>
          <w:rFonts w:hAnsi="Times New Roman" w:hint="default"/>
          <w:kern w:val="1"/>
          <w:sz w:val="22"/>
          <w:szCs w:val="22"/>
          <w:u w:color="000000"/>
          <w:rtl w:val="0"/>
          <w:lang w:val="fr-FR"/>
        </w:rPr>
        <w:t xml:space="preserve">à 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linguistiche: comprensione scritta e orale e produzione scritta e orale relative al livello A2 del Quadro comune europeo (QCER). Altro obiettivo formativo </w:t>
      </w:r>
      <w:r>
        <w:rPr>
          <w:rFonts w:hAnsi="Times New Roman" w:hint="default"/>
          <w:kern w:val="1"/>
          <w:sz w:val="22"/>
          <w:szCs w:val="22"/>
          <w:u w:color="000000"/>
          <w:rtl w:val="0"/>
          <w:lang w:val="fr-FR"/>
        </w:rPr>
        <w:t xml:space="preserve">è 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l</w:t>
      </w:r>
      <w:r>
        <w:rPr>
          <w:rFonts w:hAnsi="Times New Roman" w:hint="default"/>
          <w:kern w:val="1"/>
          <w:sz w:val="22"/>
          <w:szCs w:val="22"/>
          <w:u w:color="000000"/>
          <w:rtl w:val="0"/>
          <w:lang w:val="fr-FR"/>
        </w:rPr>
        <w:t>’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amp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l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iamento delle conoscenze riguardanti la </w:t>
      </w:r>
      <w:r>
        <w:rPr>
          <w:rFonts w:ascii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  <w:t>civilisation fran</w:t>
      </w:r>
      <w:r>
        <w:rPr>
          <w:rFonts w:hAnsi="Times New Roman" w:hint="default"/>
          <w:i w:val="1"/>
          <w:iCs w:val="1"/>
          <w:kern w:val="1"/>
          <w:sz w:val="22"/>
          <w:szCs w:val="22"/>
          <w:u w:color="000000"/>
          <w:rtl w:val="0"/>
          <w:lang w:val="fr-FR"/>
        </w:rPr>
        <w:t>ç</w:t>
      </w:r>
      <w:r>
        <w:rPr>
          <w:rFonts w:ascii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  <w:t>aise.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</w:pP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Il corso si articola in due moduli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 :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/>
          <w:b w:val="1"/>
          <w:bCs w:val="1"/>
          <w:kern w:val="1"/>
          <w:sz w:val="22"/>
          <w:szCs w:val="22"/>
          <w:u w:color="000000"/>
          <w:rtl w:val="0"/>
          <w:lang w:val="fr-FR"/>
        </w:rPr>
        <w:t xml:space="preserve">modulo I 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kern w:val="1"/>
          <w:sz w:val="22"/>
          <w:szCs w:val="22"/>
          <w:u w:color="000000"/>
          <w:rtl w:val="0"/>
          <w:lang w:val="fr-FR"/>
        </w:rPr>
        <w:tab/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30 ore, didattica frontale ed esercitazioni pratiche :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 w:cs="Times New Roman" w:hAnsi="Times New Roman" w:eastAsia="Times New Roman"/>
          <w:b w:val="1"/>
          <w:bCs w:val="1"/>
          <w:kern w:val="1"/>
          <w:sz w:val="22"/>
          <w:szCs w:val="22"/>
          <w:u w:color="000000"/>
          <w:rtl w:val="0"/>
          <w:lang w:val="fr-FR"/>
        </w:rPr>
        <w:tab/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approfondimento</w:t>
      </w:r>
      <w:r>
        <w:rPr>
          <w:rFonts w:ascii="Times New Roman"/>
          <w:b w:val="1"/>
          <w:bCs w:val="1"/>
          <w:kern w:val="1"/>
          <w:sz w:val="22"/>
          <w:szCs w:val="22"/>
          <w:u w:color="000000"/>
          <w:rtl w:val="0"/>
          <w:lang w:val="fr-FR"/>
        </w:rPr>
        <w:t xml:space="preserve"> 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delle</w:t>
      </w:r>
      <w:r>
        <w:rPr>
          <w:rFonts w:ascii="Times New Roman"/>
          <w:b w:val="1"/>
          <w:bCs w:val="1"/>
          <w:kern w:val="1"/>
          <w:sz w:val="22"/>
          <w:szCs w:val="22"/>
          <w:u w:color="000000"/>
          <w:rtl w:val="0"/>
          <w:lang w:val="fr-FR"/>
        </w:rPr>
        <w:t xml:space="preserve"> 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competenze linguistiche generali: le strutture 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morfosintattiche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, la </w:t>
        <w:tab/>
      </w:r>
      <w:r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  <w:tab/>
        <w:tab/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fonetica e il lessico di base, nel contesto delle relazioni europee ed internazionali.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/>
          <w:b w:val="1"/>
          <w:bCs w:val="1"/>
          <w:kern w:val="1"/>
          <w:sz w:val="22"/>
          <w:szCs w:val="22"/>
          <w:u w:color="000000"/>
          <w:rtl w:val="0"/>
          <w:lang w:val="fr-FR"/>
        </w:rPr>
        <w:t>modulo II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 w:cs="Times New Roman" w:hAnsi="Times New Roman" w:eastAsia="Times New Roman"/>
          <w:b w:val="1"/>
          <w:bCs w:val="1"/>
          <w:kern w:val="1"/>
          <w:sz w:val="22"/>
          <w:szCs w:val="22"/>
          <w:u w:color="000000"/>
          <w:rtl w:val="0"/>
          <w:lang w:val="fr-FR"/>
        </w:rPr>
        <w:tab/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15 ore, didattica frontale ed esercitazioni pratiche: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  <w:tab/>
      </w:r>
      <w:r>
        <w:rPr>
          <w:rFonts w:ascii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  <w:t>la civilisation fran</w:t>
      </w:r>
      <w:r>
        <w:rPr>
          <w:rFonts w:hAnsi="Times New Roman" w:hint="default"/>
          <w:i w:val="1"/>
          <w:iCs w:val="1"/>
          <w:kern w:val="1"/>
          <w:sz w:val="22"/>
          <w:szCs w:val="22"/>
          <w:u w:color="000000"/>
          <w:rtl w:val="0"/>
          <w:lang w:val="fr-FR"/>
        </w:rPr>
        <w:t>ç</w:t>
      </w:r>
      <w:r>
        <w:rPr>
          <w:rFonts w:ascii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  <w:t>aise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, attraverso documenti sonori autentici ed esercizi di trascrizione per </w:t>
        <w:tab/>
      </w:r>
      <w:r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  <w:tab/>
        <w:tab/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sviluppare la comprensione scritta e orale, finalizzata all</w:t>
      </w:r>
      <w:r>
        <w:rPr>
          <w:rFonts w:hAnsi="Times New Roman" w:hint="default"/>
          <w:kern w:val="1"/>
          <w:sz w:val="22"/>
          <w:szCs w:val="22"/>
          <w:u w:color="000000"/>
          <w:rtl w:val="0"/>
          <w:lang w:val="fr-FR"/>
        </w:rPr>
        <w:t>’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approfondimento delle tematiche  </w:t>
        <w:tab/>
      </w:r>
      <w:r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  <w:tab/>
        <w:tab/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riguardanti la civilt</w:t>
      </w:r>
      <w:r>
        <w:rPr>
          <w:rFonts w:hAnsi="Times New Roman" w:hint="default"/>
          <w:kern w:val="1"/>
          <w:sz w:val="22"/>
          <w:szCs w:val="22"/>
          <w:u w:color="000000"/>
          <w:rtl w:val="0"/>
          <w:lang w:val="fr-FR"/>
        </w:rPr>
        <w:t xml:space="preserve">à 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e la cultura francese contemporanea. 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/>
          <w:b w:val="1"/>
          <w:bCs w:val="1"/>
          <w:kern w:val="1"/>
          <w:sz w:val="22"/>
          <w:szCs w:val="22"/>
          <w:u w:color="000000"/>
          <w:rtl w:val="0"/>
          <w:lang w:val="fr-FR"/>
        </w:rPr>
        <w:t>Testi adottati: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L. 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Riehl, 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M. 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Soignet, 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MH. 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Amiot, </w:t>
      </w:r>
      <w:r>
        <w:rPr>
          <w:rFonts w:ascii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  <w:t>Objectif diplomatie, le fran</w:t>
      </w:r>
      <w:r>
        <w:rPr>
          <w:rFonts w:hAnsi="Times New Roman" w:hint="default"/>
          <w:i w:val="1"/>
          <w:iCs w:val="1"/>
          <w:kern w:val="1"/>
          <w:sz w:val="22"/>
          <w:szCs w:val="22"/>
          <w:u w:color="000000"/>
          <w:rtl w:val="0"/>
          <w:lang w:val="fr-FR"/>
        </w:rPr>
        <w:t>ç</w:t>
      </w:r>
      <w:r>
        <w:rPr>
          <w:rFonts w:ascii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  <w:t>ais des relations europ</w:t>
      </w:r>
      <w:r>
        <w:rPr>
          <w:rFonts w:hAnsi="Times New Roman" w:hint="default"/>
          <w:i w:val="1"/>
          <w:iCs w:val="1"/>
          <w:kern w:val="1"/>
          <w:sz w:val="22"/>
          <w:szCs w:val="22"/>
          <w:u w:color="000000"/>
          <w:rtl w:val="0"/>
          <w:lang w:val="fr-FR"/>
        </w:rPr>
        <w:t>é</w:t>
      </w:r>
      <w:r>
        <w:rPr>
          <w:rFonts w:ascii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  <w:t>ennes et internationales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, Hachette (capitoli 6-12)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.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A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. A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ky</w:t>
      </w:r>
      <w:r>
        <w:rPr>
          <w:rFonts w:hAnsi="Times New Roman" w:hint="default"/>
          <w:kern w:val="1"/>
          <w:sz w:val="22"/>
          <w:szCs w:val="22"/>
          <w:u w:color="000000"/>
          <w:rtl w:val="0"/>
          <w:lang w:val="fr-FR"/>
        </w:rPr>
        <w:t>ü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z, B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.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 Bazelle-Shahmaei, J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. 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Bonenfant, MF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. 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Gliemann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, </w:t>
      </w:r>
      <w:r>
        <w:rPr>
          <w:rFonts w:ascii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  <w:t>Focus : Grammaire du fran</w:t>
      </w:r>
      <w:r>
        <w:rPr>
          <w:rFonts w:hAnsi="Times New Roman" w:hint="default"/>
          <w:i w:val="1"/>
          <w:iCs w:val="1"/>
          <w:kern w:val="1"/>
          <w:sz w:val="22"/>
          <w:szCs w:val="22"/>
          <w:u w:color="000000"/>
          <w:rtl w:val="0"/>
          <w:lang w:val="fr-FR"/>
        </w:rPr>
        <w:t>ç</w:t>
      </w:r>
      <w:r>
        <w:rPr>
          <w:rFonts w:ascii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  <w:t>ais</w:t>
      </w:r>
      <w:r>
        <w:rPr>
          <w:rFonts w:ascii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  <w:t>,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 Hachette, 2015.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R. Roesch, R. Rolle-Harold, </w:t>
      </w:r>
      <w:r>
        <w:rPr>
          <w:rFonts w:ascii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  <w:t>Ecouter et comprendre la France au quotidien,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 PUG (Presses Universitaires de Grenoble).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2"/>
          <w:szCs w:val="22"/>
          <w:u w:val="single" w:color="000000"/>
          <w:rtl w:val="0"/>
          <w:lang w:val="fr-FR"/>
        </w:rPr>
      </w:pPr>
      <w:r>
        <w:rPr>
          <w:rFonts w:ascii="Times New Roman"/>
          <w:b w:val="1"/>
          <w:bCs w:val="1"/>
          <w:kern w:val="1"/>
          <w:sz w:val="22"/>
          <w:szCs w:val="22"/>
          <w:u w:color="000000"/>
          <w:rtl w:val="0"/>
          <w:lang w:val="fr-FR"/>
        </w:rPr>
        <w:t>Dizionari consigliati: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Robert/Signorelli, </w:t>
      </w:r>
      <w:r>
        <w:rPr>
          <w:rFonts w:ascii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  <w:t>Dizionario francese italiano-italiano francese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, Carlo Signorelli ed., ultima edizione.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R: Boch,</w:t>
      </w:r>
      <w:r>
        <w:rPr>
          <w:rFonts w:ascii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  <w:t xml:space="preserve"> Dizionario francese italiano-italiano francese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, Zanichelli ed., ultima edizione.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AA.VV., </w:t>
      </w:r>
      <w:r>
        <w:rPr>
          <w:rFonts w:ascii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  <w:t>Il nuovo dizionario Garzanti di francese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, Garzanti, ultima edizione.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Una parte del materiale didattico sar</w:t>
      </w:r>
      <w:r>
        <w:rPr>
          <w:rFonts w:hAnsi="Times New Roman" w:hint="default"/>
          <w:kern w:val="1"/>
          <w:sz w:val="22"/>
          <w:szCs w:val="22"/>
          <w:u w:color="000000"/>
          <w:rtl w:val="0"/>
          <w:lang w:val="fr-FR"/>
        </w:rPr>
        <w:t xml:space="preserve">à </w:t>
      </w: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 xml:space="preserve">fornita personalmente dalla docente. 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/>
          <w:kern w:val="1"/>
          <w:sz w:val="22"/>
          <w:szCs w:val="22"/>
          <w:u w:color="000000"/>
          <w:rtl w:val="0"/>
          <w:lang w:val="fr-FR"/>
        </w:rPr>
        <w:t>Considerato il carattere pratico del corso, si consiglia la frequenza.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kern w:val="1"/>
          <w:sz w:val="22"/>
          <w:szCs w:val="22"/>
          <w:u w:color="000000"/>
          <w:rtl w:val="0"/>
          <w:lang w:val="fr-FR"/>
        </w:rPr>
      </w:pP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/>
          <w:b w:val="1"/>
          <w:bCs w:val="1"/>
          <w:kern w:val="1"/>
          <w:sz w:val="22"/>
          <w:szCs w:val="22"/>
          <w:u w:color="000000"/>
          <w:rtl w:val="0"/>
          <w:lang w:val="fr-FR"/>
        </w:rPr>
        <w:t>Esame: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  <w:t xml:space="preserve"> prova scritta: dettato e test morfosintattico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</w:pPr>
      <w:r>
        <w:rPr>
          <w:rFonts w:ascii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  <w:t>prova orale : colloquio sui contenuti dei moduli I e II.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</w:pP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ind w:left="0" w:right="0" w:firstLine="0"/>
        <w:jc w:val="both"/>
        <w:rPr>
          <w:rtl w:val="0"/>
        </w:rPr>
      </w:pPr>
      <w:r>
        <w:rPr>
          <w:rFonts w:ascii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  <w:t xml:space="preserve"> </w:t>
      </w:r>
      <w:r>
        <w:rPr>
          <w:rFonts w:ascii="Times New Roman" w:cs="Times New Roman" w:hAnsi="Times New Roman" w:eastAsia="Times New Roman"/>
          <w:i w:val="1"/>
          <w:iCs w:val="1"/>
          <w:kern w:val="1"/>
          <w:sz w:val="22"/>
          <w:szCs w:val="22"/>
          <w:u w:color="000000"/>
          <w:rtl w:val="0"/>
          <w:lang w:val="fr-FR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